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9D" w:rsidRPr="00D9479D" w:rsidRDefault="00D9479D" w:rsidP="00D94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Банк учрежден в 1999 году правительством РФ на основании Закона «О федеральном бюджете на 1999 год» под наименованием «Российский банк развития» (ОАО «</w:t>
      </w:r>
      <w:proofErr w:type="spell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РосБР</w:t>
      </w:r>
      <w:proofErr w:type="spell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») с целью поддержки кредитования важнейших секторов отечественной экономики.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proofErr w:type="gram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С 2004 года банк реализует госпрограмму финансовой поддержки малого и среднего предпринимательства в России через сеть партнеров, в числе которых банки, лизинговые и </w:t>
      </w:r>
      <w:proofErr w:type="spell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факторинговые</w:t>
      </w:r>
      <w:proofErr w:type="spell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компании, </w:t>
      </w:r>
      <w:proofErr w:type="spell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микрофинансовые</w:t>
      </w:r>
      <w:proofErr w:type="spell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организации и др. МСП Банк предоставляет фондирование партнерам, а те, в свою очередь, осуществляют поддержку субъектов МСП в форме кредитов, </w:t>
      </w:r>
      <w:proofErr w:type="spell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микрозаймов</w:t>
      </w:r>
      <w:proofErr w:type="spell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, имущественной поддержки с использованием механизма лизинга и пр. </w:t>
      </w:r>
      <w:proofErr w:type="gramEnd"/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2007 году 100% акций банка были переданы в качестве взноса в уставный фонд государственной корпорации «Банк развития и внешнеэкономической деятельности» (Внешэкономбанк).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июне 2011 года банк сменил наименование на ОАО «Российский Банк поддержки малого и среднего предпринимательства» (МСП Банк). 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21 апреля 2016 года в соответствии с указом президента РФ 100% акций банка перешли под контроль АО «Федеральная корпорация по развитию малого и среднего предпринимательства» (АО «Корпорация «МСП»).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марте 2018 года стал участником системы страхования вкладов.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2018 году МСП Банк приступил к прямому кредитованию субъектов МСП. Переход к прямому кредитованию МСП стал одним из факторов, обусловивших положительный финансовый результат банка.</w:t>
      </w: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  <w:t>Приоритетными сегментами МСП для банка являются производственный сектор, инновационные и ресурсосберегающие проекты, в том числе в регионах со сложной социально-экономической ситуацией и моногородах. Банк также осуществляет гарантийную поддержку в обеспечении обязательств по контрактам (223-ФЗ и 44-ФЗ).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На 1 апреля 2020 года объем нетто-активов банка составил 127,7 </w:t>
      </w:r>
      <w:proofErr w:type="gram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млрд</w:t>
      </w:r>
      <w:proofErr w:type="gram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рублей, объем собственных средств – 29,0 млрд рублей. За 1 квартал 2020 года кредитная организация демонстрирует прибыль в размере 303,7 </w:t>
      </w:r>
      <w:proofErr w:type="gram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млн</w:t>
      </w:r>
      <w:proofErr w:type="gram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рублей.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b/>
          <w:bCs/>
          <w:color w:val="2C2C2C"/>
          <w:sz w:val="24"/>
          <w:szCs w:val="24"/>
          <w:lang w:eastAsia="ru-RU"/>
        </w:rPr>
        <w:t>Сеть подразделений:</w:t>
      </w: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  <w:t>головной офис (Москва).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b/>
          <w:bCs/>
          <w:color w:val="2C2C2C"/>
          <w:sz w:val="24"/>
          <w:szCs w:val="24"/>
          <w:lang w:eastAsia="ru-RU"/>
        </w:rPr>
        <w:t>Владельцы:</w:t>
      </w: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  <w:t>Российская Федерация в лице Федерального агентства по управлению государственным имуществом (</w:t>
      </w:r>
      <w:proofErr w:type="spell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Росимущество</w:t>
      </w:r>
      <w:proofErr w:type="spell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) – 71,96%;</w:t>
      </w: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  <w:t>Государственная корпорация развития «ВЭБ</w:t>
      </w:r>
      <w:proofErr w:type="gram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.Р</w:t>
      </w:r>
      <w:proofErr w:type="gram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Ф» – 28,04%.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Вышеуказанные акционеры контролируют банк через АО «Корпорация «МСП». 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b/>
          <w:bCs/>
          <w:color w:val="2C2C2C"/>
          <w:sz w:val="24"/>
          <w:szCs w:val="24"/>
          <w:lang w:eastAsia="ru-RU"/>
        </w:rPr>
        <w:t>Наблюдательный совет:</w:t>
      </w: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 Александр </w:t>
      </w:r>
      <w:proofErr w:type="spell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Браверман</w:t>
      </w:r>
      <w:proofErr w:type="spell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(председатель), Сергей Борисов, Дмитрий Голованов, Владимир Дмитриев, Артем Констандян, Светлана Жукова, Олег Теплов, Олег Фомичев, Александр </w:t>
      </w:r>
      <w:proofErr w:type="spell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Токар</w:t>
      </w:r>
      <w:proofErr w:type="spell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b/>
          <w:bCs/>
          <w:color w:val="2C2C2C"/>
          <w:sz w:val="24"/>
          <w:szCs w:val="24"/>
          <w:lang w:eastAsia="ru-RU"/>
        </w:rPr>
        <w:lastRenderedPageBreak/>
        <w:t>Правление: </w:t>
      </w:r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Дмитрий Голованов (председатель), Денис Урсуляк, Роман Капинос, Александр Гуров, Олег Князев, Петр Тарасов, Валентина </w:t>
      </w:r>
      <w:proofErr w:type="spellStart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Исаченкова</w:t>
      </w:r>
      <w:proofErr w:type="spellEnd"/>
      <w:r w:rsidRPr="00D9479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, Кирилл Семенов.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bookmarkStart w:id="0" w:name="_GoBack"/>
      <w:r w:rsidRPr="00D9479D">
        <w:rPr>
          <w:rFonts w:ascii="Arial" w:eastAsia="Times New Roman" w:hAnsi="Arial" w:cs="Arial"/>
          <w:i/>
          <w:iCs/>
          <w:color w:val="2C2C2C"/>
          <w:sz w:val="24"/>
          <w:szCs w:val="24"/>
          <w:lang w:eastAsia="ru-RU"/>
        </w:rPr>
        <w:t xml:space="preserve">Аналитический центр </w:t>
      </w:r>
      <w:proofErr w:type="spellStart"/>
      <w:r w:rsidRPr="00D9479D">
        <w:rPr>
          <w:rFonts w:ascii="Arial" w:eastAsia="Times New Roman" w:hAnsi="Arial" w:cs="Arial"/>
          <w:i/>
          <w:iCs/>
          <w:color w:val="2C2C2C"/>
          <w:sz w:val="24"/>
          <w:szCs w:val="24"/>
          <w:lang w:eastAsia="ru-RU"/>
        </w:rPr>
        <w:t>Банки</w:t>
      </w:r>
      <w:proofErr w:type="gramStart"/>
      <w:r w:rsidRPr="00D9479D">
        <w:rPr>
          <w:rFonts w:ascii="Arial" w:eastAsia="Times New Roman" w:hAnsi="Arial" w:cs="Arial"/>
          <w:i/>
          <w:iCs/>
          <w:color w:val="2C2C2C"/>
          <w:sz w:val="24"/>
          <w:szCs w:val="24"/>
          <w:lang w:eastAsia="ru-RU"/>
        </w:rPr>
        <w:t>.р</w:t>
      </w:r>
      <w:proofErr w:type="gramEnd"/>
      <w:r w:rsidRPr="00D9479D">
        <w:rPr>
          <w:rFonts w:ascii="Arial" w:eastAsia="Times New Roman" w:hAnsi="Arial" w:cs="Arial"/>
          <w:i/>
          <w:iCs/>
          <w:color w:val="2C2C2C"/>
          <w:sz w:val="24"/>
          <w:szCs w:val="24"/>
          <w:lang w:eastAsia="ru-RU"/>
        </w:rPr>
        <w:t>у</w:t>
      </w:r>
      <w:proofErr w:type="spellEnd"/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i/>
          <w:iCs/>
          <w:color w:val="2C2C2C"/>
          <w:sz w:val="24"/>
          <w:szCs w:val="24"/>
          <w:lang w:eastAsia="ru-RU"/>
        </w:rPr>
        <w:t>Тел.: (495) 665-52-55 (доб. 489)</w:t>
      </w:r>
    </w:p>
    <w:p w:rsidR="00D9479D" w:rsidRPr="00D9479D" w:rsidRDefault="00D9479D" w:rsidP="00D9479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D9479D">
        <w:rPr>
          <w:rFonts w:ascii="Arial" w:eastAsia="Times New Roman" w:hAnsi="Arial" w:cs="Arial"/>
          <w:i/>
          <w:iCs/>
          <w:color w:val="2C2C2C"/>
          <w:sz w:val="24"/>
          <w:szCs w:val="24"/>
          <w:lang w:eastAsia="ru-RU"/>
        </w:rPr>
        <w:t>E-</w:t>
      </w:r>
      <w:proofErr w:type="spellStart"/>
      <w:r w:rsidRPr="00D9479D">
        <w:rPr>
          <w:rFonts w:ascii="Arial" w:eastAsia="Times New Roman" w:hAnsi="Arial" w:cs="Arial"/>
          <w:i/>
          <w:iCs/>
          <w:color w:val="2C2C2C"/>
          <w:sz w:val="24"/>
          <w:szCs w:val="24"/>
          <w:lang w:eastAsia="ru-RU"/>
        </w:rPr>
        <w:t>mail</w:t>
      </w:r>
      <w:proofErr w:type="spellEnd"/>
      <w:r w:rsidRPr="00D9479D">
        <w:rPr>
          <w:rFonts w:ascii="Arial" w:eastAsia="Times New Roman" w:hAnsi="Arial" w:cs="Arial"/>
          <w:i/>
          <w:iCs/>
          <w:color w:val="2C2C2C"/>
          <w:sz w:val="24"/>
          <w:szCs w:val="24"/>
          <w:lang w:eastAsia="ru-RU"/>
        </w:rPr>
        <w:t>: </w:t>
      </w:r>
      <w:hyperlink r:id="rId5" w:history="1">
        <w:r w:rsidRPr="00D9479D">
          <w:rPr>
            <w:rFonts w:ascii="Arial" w:eastAsia="Times New Roman" w:hAnsi="Arial" w:cs="Arial"/>
            <w:i/>
            <w:iCs/>
            <w:color w:val="336699"/>
            <w:sz w:val="24"/>
            <w:szCs w:val="24"/>
            <w:u w:val="single"/>
            <w:lang w:eastAsia="ru-RU"/>
          </w:rPr>
          <w:t>balance@banki.ru</w:t>
        </w:r>
      </w:hyperlink>
    </w:p>
    <w:bookmarkEnd w:id="0"/>
    <w:p w:rsidR="00BA70C5" w:rsidRDefault="00BA70C5"/>
    <w:sectPr w:rsidR="00BA70C5" w:rsidSect="00D8632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9D"/>
    <w:rsid w:val="006D3827"/>
    <w:rsid w:val="00BA70C5"/>
    <w:rsid w:val="00D86324"/>
    <w:rsid w:val="00D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ance@ban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Раиса Михайловна Чередниченко</cp:lastModifiedBy>
  <cp:revision>1</cp:revision>
  <dcterms:created xsi:type="dcterms:W3CDTF">2020-06-29T13:07:00Z</dcterms:created>
  <dcterms:modified xsi:type="dcterms:W3CDTF">2020-06-29T13:10:00Z</dcterms:modified>
</cp:coreProperties>
</file>